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Наименование закупки»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081F83">
        <w:rPr>
          <w:color w:val="000000" w:themeColor="text1"/>
          <w:sz w:val="20"/>
          <w:szCs w:val="20"/>
          <w:shd w:val="clear" w:color="auto" w:fill="FFFFFF"/>
        </w:rPr>
        <w:t xml:space="preserve">позднее </w:t>
      </w:r>
      <w:r w:rsidR="00E5031E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31.12</w:t>
      </w:r>
      <w:r w:rsidR="00D54412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713C29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</w:t>
      </w:r>
      <w:r w:rsidR="00152DCB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02</w:t>
      </w:r>
      <w:r w:rsidR="004D201B">
        <w:rPr>
          <w:color w:val="000000" w:themeColor="text1"/>
          <w:sz w:val="20"/>
          <w:szCs w:val="20"/>
          <w:highlight w:val="yellow"/>
          <w:shd w:val="clear" w:color="auto" w:fill="FFFFFF"/>
          <w:lang w:val="ru-RU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</w:t>
      </w:r>
      <w:r w:rsidR="00002E75" w:rsidRPr="00002E75">
        <w:rPr>
          <w:color w:val="000000" w:themeColor="text1"/>
          <w:sz w:val="20"/>
          <w:szCs w:val="20"/>
          <w:shd w:val="clear" w:color="auto" w:fill="FFFFFF"/>
        </w:rPr>
        <w:t>Предоплата 100 %</w:t>
      </w:r>
      <w:bookmarkStart w:id="0" w:name="_GoBack"/>
      <w:bookmarkEnd w:id="0"/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081F83">
        <w:rPr>
          <w:color w:val="000000" w:themeColor="text1"/>
          <w:sz w:val="20"/>
          <w:szCs w:val="20"/>
        </w:rPr>
        <w:t>Договор</w:t>
      </w:r>
      <w:r w:rsidRPr="00081F83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81F83">
        <w:rPr>
          <w:color w:val="000000" w:themeColor="text1"/>
          <w:sz w:val="20"/>
          <w:szCs w:val="20"/>
          <w:highlight w:val="yellow"/>
        </w:rPr>
        <w:t>31.01</w:t>
      </w:r>
      <w:r w:rsidR="00BB350A" w:rsidRPr="00081F83">
        <w:rPr>
          <w:color w:val="000000" w:themeColor="text1"/>
          <w:sz w:val="20"/>
          <w:szCs w:val="20"/>
          <w:highlight w:val="yellow"/>
        </w:rPr>
        <w:t>.</w:t>
      </w:r>
      <w:r w:rsidR="004E27EB" w:rsidRPr="00081F83">
        <w:rPr>
          <w:color w:val="000000" w:themeColor="text1"/>
          <w:sz w:val="20"/>
          <w:szCs w:val="20"/>
          <w:highlight w:val="yellow"/>
        </w:rPr>
        <w:t>20</w:t>
      </w:r>
      <w:r w:rsidR="00525AB3" w:rsidRPr="0039313E">
        <w:rPr>
          <w:color w:val="000000" w:themeColor="text1"/>
          <w:sz w:val="20"/>
          <w:szCs w:val="20"/>
          <w:highlight w:val="yellow"/>
        </w:rPr>
        <w:t>2</w:t>
      </w:r>
      <w:r w:rsidR="004D201B">
        <w:rPr>
          <w:color w:val="000000" w:themeColor="text1"/>
          <w:sz w:val="20"/>
          <w:szCs w:val="20"/>
          <w:highlight w:val="yellow"/>
        </w:rPr>
        <w:t>6</w:t>
      </w:r>
      <w:r w:rsidRPr="00081F83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002E75" w:rsidRPr="00002E75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2E75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8B1B-CB87-49EF-AF07-A6729EAB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2025-05-06T03:15:00Z</dcterms:modified>
</cp:coreProperties>
</file>